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96CD" w14:textId="6BF33214" w:rsidR="0027108E" w:rsidRDefault="0027108E" w:rsidP="004E2C0C">
      <w:pPr>
        <w:pStyle w:val="Heading1"/>
        <w:pageBreakBefore/>
        <w:spacing w:before="0"/>
      </w:pPr>
      <w:r>
        <w:t>Introduction</w:t>
      </w:r>
    </w:p>
    <w:p w14:paraId="5FBF04A9" w14:textId="342BC426" w:rsidR="0027108E" w:rsidRDefault="0027108E" w:rsidP="00C03C5E">
      <w:pPr>
        <w:jc w:val="both"/>
      </w:pPr>
      <w:r>
        <w:t xml:space="preserve">The </w:t>
      </w:r>
      <w:r w:rsidR="00E45B51">
        <w:t xml:space="preserve">purpose of the </w:t>
      </w:r>
      <w:r w:rsidR="00D24376">
        <w:t>Project C</w:t>
      </w:r>
      <w:r w:rsidR="00B01DC8">
        <w:t xml:space="preserve">hecklist </w:t>
      </w:r>
      <w:r w:rsidR="00C03C5E">
        <w:t>is</w:t>
      </w:r>
      <w:r w:rsidR="00B01DC8">
        <w:t xml:space="preserve"> </w:t>
      </w:r>
      <w:r w:rsidR="005E0C10">
        <w:t>to</w:t>
      </w:r>
      <w:r w:rsidR="00BD7C8A">
        <w:t xml:space="preserve"> define</w:t>
      </w:r>
      <w:r w:rsidR="00385B04">
        <w:t xml:space="preserve"> </w:t>
      </w:r>
      <w:r w:rsidR="005E0C10">
        <w:t xml:space="preserve">guidance </w:t>
      </w:r>
      <w:r w:rsidR="00BD7C8A">
        <w:t xml:space="preserve">criteria </w:t>
      </w:r>
      <w:r w:rsidR="0076255C">
        <w:t xml:space="preserve">using reference documents and to list the </w:t>
      </w:r>
      <w:proofErr w:type="gramStart"/>
      <w:r w:rsidR="00FB0A4C">
        <w:t>manner</w:t>
      </w:r>
      <w:r w:rsidR="0076255C">
        <w:t xml:space="preserve"> in which</w:t>
      </w:r>
      <w:proofErr w:type="gramEnd"/>
      <w:r w:rsidR="0076255C">
        <w:t xml:space="preserve"> the project is delivered thr</w:t>
      </w:r>
      <w:r w:rsidR="00FB0A4C">
        <w:t>ough</w:t>
      </w:r>
      <w:r w:rsidR="0076255C">
        <w:t xml:space="preserve"> </w:t>
      </w:r>
      <w:r w:rsidR="009916EE">
        <w:t xml:space="preserve">different submissions and </w:t>
      </w:r>
      <w:r w:rsidR="005A1267">
        <w:t>documents</w:t>
      </w:r>
      <w:r w:rsidR="009916EE">
        <w:t>.</w:t>
      </w:r>
    </w:p>
    <w:p w14:paraId="1B493AEA" w14:textId="1CABDEB5" w:rsidR="00CD4E97" w:rsidRDefault="0027108E" w:rsidP="001E0047">
      <w:pPr>
        <w:pStyle w:val="Heading1"/>
        <w:spacing w:before="0"/>
      </w:pPr>
      <w:r>
        <w:t>Checklist</w:t>
      </w:r>
      <w:r w:rsidR="00576DE0">
        <w:t>s</w:t>
      </w:r>
    </w:p>
    <w:p w14:paraId="45BE0002" w14:textId="228FC139" w:rsidR="00EE78FA" w:rsidRDefault="00894D50" w:rsidP="00D379CA">
      <w:pPr>
        <w:jc w:val="both"/>
      </w:pPr>
      <w:r>
        <w:t xml:space="preserve">Each </w:t>
      </w:r>
      <w:r w:rsidR="00D379CA">
        <w:t>phase of a project</w:t>
      </w:r>
      <w:r>
        <w:t xml:space="preserve"> culminates in </w:t>
      </w:r>
      <w:r w:rsidR="00D379CA">
        <w:t xml:space="preserve">one or more </w:t>
      </w:r>
      <w:r w:rsidR="00E21501">
        <w:t xml:space="preserve">major milestone </w:t>
      </w:r>
      <w:r w:rsidR="00861859">
        <w:t>submission</w:t>
      </w:r>
      <w:r w:rsidR="00E47AC3">
        <w:t>s</w:t>
      </w:r>
      <w:r w:rsidR="00861859">
        <w:t xml:space="preserve"> </w:t>
      </w:r>
      <w:r w:rsidR="008C4210">
        <w:t>(MMS)</w:t>
      </w:r>
      <w:r w:rsidR="00861859">
        <w:t xml:space="preserve">. </w:t>
      </w:r>
      <w:r w:rsidR="003F03D9">
        <w:t xml:space="preserve"> </w:t>
      </w:r>
      <w:r w:rsidR="00861859">
        <w:t xml:space="preserve">The </w:t>
      </w:r>
      <w:r w:rsidR="008C4210">
        <w:t>MMS</w:t>
      </w:r>
      <w:r w:rsidR="00861859">
        <w:t xml:space="preserve"> is initially submitted as draft</w:t>
      </w:r>
      <w:r w:rsidR="005346EA">
        <w:t xml:space="preserve"> </w:t>
      </w:r>
      <w:r w:rsidR="00531B62">
        <w:t xml:space="preserve">and is </w:t>
      </w:r>
      <w:r w:rsidR="00595C11">
        <w:t xml:space="preserve">later </w:t>
      </w:r>
      <w:r w:rsidR="00531B62">
        <w:t xml:space="preserve">delivered </w:t>
      </w:r>
      <w:r w:rsidR="005346EA">
        <w:t>as final</w:t>
      </w:r>
      <w:r w:rsidR="008C4210">
        <w:t xml:space="preserve"> after a comment resolution phase</w:t>
      </w:r>
      <w:r w:rsidR="005346EA">
        <w:t xml:space="preserve">. </w:t>
      </w:r>
      <w:r w:rsidR="003F03D9">
        <w:t xml:space="preserve"> </w:t>
      </w:r>
      <w:r w:rsidR="00972C51">
        <w:t>T</w:t>
      </w:r>
      <w:r w:rsidR="00F52E10">
        <w:t xml:space="preserve">he </w:t>
      </w:r>
      <w:r w:rsidR="008C4210">
        <w:t>MMS</w:t>
      </w:r>
      <w:r w:rsidR="00F52E10">
        <w:t xml:space="preserve"> is typically comprised of various </w:t>
      </w:r>
      <w:r w:rsidR="000D4FF0">
        <w:t>deliverables</w:t>
      </w:r>
      <w:r w:rsidR="0067734F">
        <w:t xml:space="preserve"> and </w:t>
      </w:r>
      <w:r w:rsidR="00CB477F">
        <w:t xml:space="preserve">in most cases </w:t>
      </w:r>
      <w:r w:rsidR="0067734F">
        <w:t xml:space="preserve">undergoes a full review by </w:t>
      </w:r>
      <w:r w:rsidR="00034D91">
        <w:t xml:space="preserve">the appropriate </w:t>
      </w:r>
      <w:r w:rsidR="0067734F">
        <w:t xml:space="preserve">Authority </w:t>
      </w:r>
      <w:r w:rsidR="00034D91">
        <w:t>departments and engineering groups.</w:t>
      </w:r>
    </w:p>
    <w:p w14:paraId="67181EEF" w14:textId="17F021B1" w:rsidR="00A634E0" w:rsidRDefault="00282763" w:rsidP="00055C56">
      <w:pPr>
        <w:jc w:val="both"/>
      </w:pPr>
      <w:r>
        <w:t>Some</w:t>
      </w:r>
      <w:r w:rsidR="00120C46">
        <w:t xml:space="preserve"> </w:t>
      </w:r>
      <w:r w:rsidR="000D4FF0">
        <w:t>deliverables</w:t>
      </w:r>
      <w:r w:rsidR="00120C46">
        <w:t xml:space="preserve"> </w:t>
      </w:r>
      <w:r w:rsidR="002B0EE3">
        <w:t>may</w:t>
      </w:r>
      <w:r w:rsidR="00120C46">
        <w:t xml:space="preserve"> </w:t>
      </w:r>
      <w:r w:rsidR="005C0331">
        <w:t>not</w:t>
      </w:r>
      <w:r w:rsidR="002B0EE3">
        <w:t xml:space="preserve"> be</w:t>
      </w:r>
      <w:r w:rsidR="005C0331">
        <w:t xml:space="preserve"> part of the MMS</w:t>
      </w:r>
      <w:r w:rsidR="00726225">
        <w:t xml:space="preserve">. </w:t>
      </w:r>
      <w:r w:rsidR="003F03D9">
        <w:t xml:space="preserve"> </w:t>
      </w:r>
      <w:r w:rsidR="00726225">
        <w:t xml:space="preserve">These </w:t>
      </w:r>
      <w:r w:rsidR="00CF48C5">
        <w:t>include</w:t>
      </w:r>
      <w:r w:rsidR="00726225">
        <w:t xml:space="preserve"> documents that are </w:t>
      </w:r>
      <w:r w:rsidR="00120C46">
        <w:t xml:space="preserve">updated and reviewed several times </w:t>
      </w:r>
      <w:r w:rsidR="00FE6C68">
        <w:t>throughout the project lifecycle</w:t>
      </w:r>
      <w:r w:rsidR="009B6014">
        <w:t>,</w:t>
      </w:r>
      <w:r w:rsidR="00FE6C68">
        <w:t xml:space="preserve"> </w:t>
      </w:r>
      <w:r w:rsidR="00726225">
        <w:t>such as the Project Risk Register</w:t>
      </w:r>
      <w:r w:rsidR="009B6014">
        <w:t>,</w:t>
      </w:r>
      <w:r w:rsidR="00726225">
        <w:t xml:space="preserve"> </w:t>
      </w:r>
      <w:r w:rsidR="00A839E0">
        <w:t xml:space="preserve">and others </w:t>
      </w:r>
      <w:r w:rsidR="00CF48C5">
        <w:t xml:space="preserve">that </w:t>
      </w:r>
      <w:r w:rsidR="00A839E0">
        <w:t>are required for review and</w:t>
      </w:r>
      <w:r>
        <w:t xml:space="preserve"> approval p</w:t>
      </w:r>
      <w:r w:rsidR="00D96A93">
        <w:t xml:space="preserve">rior to the </w:t>
      </w:r>
      <w:r w:rsidR="00A634E0">
        <w:t>MMS</w:t>
      </w:r>
      <w:r w:rsidR="009B6014">
        <w:t>,</w:t>
      </w:r>
      <w:r w:rsidR="00726225">
        <w:t xml:space="preserve"> such as </w:t>
      </w:r>
      <w:r w:rsidR="00013248">
        <w:t>the Design Exception Report</w:t>
      </w:r>
      <w:r w:rsidR="00A839E0">
        <w:t>.</w:t>
      </w:r>
      <w:r w:rsidR="00361955">
        <w:t xml:space="preserve"> </w:t>
      </w:r>
      <w:r w:rsidR="003F03D9">
        <w:t xml:space="preserve"> </w:t>
      </w:r>
      <w:r w:rsidR="00CB16E3">
        <w:t xml:space="preserve">These deliverables are </w:t>
      </w:r>
      <w:r w:rsidR="00DC58C2">
        <w:t xml:space="preserve">typically </w:t>
      </w:r>
      <w:r w:rsidR="00CB16E3">
        <w:t xml:space="preserve">reviewed and processed by </w:t>
      </w:r>
      <w:r w:rsidR="00146E48">
        <w:t xml:space="preserve">limited Authority departments and engineering groups. </w:t>
      </w:r>
      <w:r w:rsidR="003F03D9">
        <w:t xml:space="preserve"> </w:t>
      </w:r>
      <w:r w:rsidR="00361955">
        <w:t xml:space="preserve">These </w:t>
      </w:r>
      <w:r w:rsidR="00515138">
        <w:t>documents</w:t>
      </w:r>
      <w:r w:rsidR="0007336E">
        <w:t xml:space="preserve"> can be </w:t>
      </w:r>
      <w:r w:rsidR="00361008">
        <w:t xml:space="preserve">included as part of the MMS </w:t>
      </w:r>
      <w:r w:rsidR="00C23E12">
        <w:t>as an appendix</w:t>
      </w:r>
      <w:r w:rsidR="004F6FBD">
        <w:t xml:space="preserve"> to the phase report</w:t>
      </w:r>
      <w:r w:rsidR="00DC58C2">
        <w:t>, where applicable,</w:t>
      </w:r>
      <w:r w:rsidR="004F6FBD">
        <w:t xml:space="preserve"> or as individual documents.</w:t>
      </w:r>
    </w:p>
    <w:p w14:paraId="0974D251" w14:textId="77777777" w:rsidR="008703D9" w:rsidRDefault="008703D9" w:rsidP="008703D9">
      <w:pPr>
        <w:pStyle w:val="Heading1"/>
        <w:spacing w:before="0"/>
      </w:pPr>
      <w:r>
        <w:t>Instructions</w:t>
      </w:r>
    </w:p>
    <w:p w14:paraId="7F1D742B" w14:textId="0ACFDD69" w:rsidR="008703D9" w:rsidRDefault="00D02B47" w:rsidP="008703D9">
      <w:pPr>
        <w:jc w:val="both"/>
      </w:pPr>
      <w:r>
        <w:t>T</w:t>
      </w:r>
      <w:r w:rsidR="008703D9">
        <w:t xml:space="preserve">he </w:t>
      </w:r>
      <w:r w:rsidR="0059438D">
        <w:t>Project</w:t>
      </w:r>
      <w:r w:rsidR="008703D9">
        <w:t xml:space="preserve"> Checklists are customizable and </w:t>
      </w:r>
      <w:proofErr w:type="gramStart"/>
      <w:r w:rsidR="008703D9">
        <w:t>allow for</w:t>
      </w:r>
      <w:proofErr w:type="gramEnd"/>
      <w:r w:rsidR="008703D9">
        <w:t xml:space="preserve"> the designer and the Authority to add deliverables as necessary.  The checklists </w:t>
      </w:r>
      <w:proofErr w:type="gramStart"/>
      <w:r w:rsidR="008703D9">
        <w:t>are intended</w:t>
      </w:r>
      <w:proofErr w:type="gramEnd"/>
      <w:r w:rsidR="008703D9">
        <w:t xml:space="preserve"> to allow for consistent documentation of the anticipated deliverables.</w:t>
      </w:r>
    </w:p>
    <w:p w14:paraId="27FE9E11" w14:textId="75EDD6F3" w:rsidR="008703D9" w:rsidRDefault="0059438D" w:rsidP="008703D9">
      <w:pPr>
        <w:spacing w:before="120"/>
        <w:jc w:val="both"/>
      </w:pPr>
      <w:r>
        <w:t>Prior to each</w:t>
      </w:r>
      <w:r w:rsidR="0095341D">
        <w:t xml:space="preserve"> MMS,</w:t>
      </w:r>
      <w:r>
        <w:t xml:space="preserve"> </w:t>
      </w:r>
      <w:r w:rsidR="0095341D">
        <w:t>the</w:t>
      </w:r>
      <w:r w:rsidR="008703D9">
        <w:t xml:space="preserve"> </w:t>
      </w:r>
      <w:r w:rsidR="00C41409">
        <w:t xml:space="preserve">corresponding </w:t>
      </w:r>
      <w:r w:rsidR="008703D9">
        <w:t xml:space="preserve">Checklist is to be completed by the designer to document the </w:t>
      </w:r>
      <w:r w:rsidR="00927DB4">
        <w:t>deliverables</w:t>
      </w:r>
      <w:r w:rsidR="008703D9">
        <w:t xml:space="preserve"> to be included in each MMS</w:t>
      </w:r>
      <w:r w:rsidR="00D21037">
        <w:t xml:space="preserve"> (complete the </w:t>
      </w:r>
      <w:r w:rsidR="002855E2">
        <w:t>“</w:t>
      </w:r>
      <w:proofErr w:type="spellStart"/>
      <w:r w:rsidR="00D21037">
        <w:t>Req’d</w:t>
      </w:r>
      <w:proofErr w:type="spellEnd"/>
      <w:r w:rsidR="002855E2">
        <w:t>”</w:t>
      </w:r>
      <w:r w:rsidR="00D21037">
        <w:t xml:space="preserve"> column)</w:t>
      </w:r>
      <w:r w:rsidR="00C41409">
        <w:t xml:space="preserve"> and reviewed with the Authority Project Manager for concurrence</w:t>
      </w:r>
      <w:r w:rsidR="008703D9">
        <w:t>.  This checklist shall be submitted with the MMS</w:t>
      </w:r>
      <w:r w:rsidR="002855E2">
        <w:t xml:space="preserve"> with each included </w:t>
      </w:r>
      <w:r w:rsidR="0041302F">
        <w:t>deliverable</w:t>
      </w:r>
      <w:r w:rsidR="002855E2">
        <w:t xml:space="preserve"> affirmed in the checklist (complete the “Incl” column)</w:t>
      </w:r>
      <w:r w:rsidR="008703D9">
        <w:t xml:space="preserve">.  The checklist will include the number of hard copies required for each </w:t>
      </w:r>
      <w:proofErr w:type="gramStart"/>
      <w:r w:rsidR="008703D9">
        <w:t>deliverable</w:t>
      </w:r>
      <w:proofErr w:type="gramEnd"/>
      <w:r w:rsidR="002855E2">
        <w:t>, as directed by the Authority Project Manager,</w:t>
      </w:r>
      <w:r w:rsidR="008703D9">
        <w:t xml:space="preserve"> and reminders for other tasks to be completed to meet related Authority requirements.</w:t>
      </w:r>
    </w:p>
    <w:p w14:paraId="5B62103F" w14:textId="77177537" w:rsidR="00B95A27" w:rsidRDefault="00B95A27" w:rsidP="008703D9">
      <w:pPr>
        <w:spacing w:before="120"/>
        <w:jc w:val="both"/>
      </w:pPr>
      <w:r>
        <w:t>The Reference Documents on the following page are numbered and listed in each checklist under the “Ref #” column when such reference document is relevant to that item.</w:t>
      </w:r>
    </w:p>
    <w:p w14:paraId="6761227F" w14:textId="77777777" w:rsidR="00730943" w:rsidRDefault="00730943" w:rsidP="00D63029"/>
    <w:p w14:paraId="60FDC32D" w14:textId="77777777" w:rsidR="00F420CC" w:rsidRDefault="00F420CC" w:rsidP="004A3F04">
      <w:pPr>
        <w:pStyle w:val="Heading2"/>
        <w:sectPr w:rsidR="00F420CC" w:rsidSect="00122763">
          <w:headerReference w:type="default" r:id="rId11"/>
          <w:footerReference w:type="default" r:id="rId12"/>
          <w:type w:val="continuous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lastRenderedPageBreak/>
        <w:t>Reference Documents</w:t>
      </w:r>
    </w:p>
    <w:p w14:paraId="1E6EE5FF" w14:textId="41D08647" w:rsidR="00B228A1" w:rsidRDefault="00B228A1" w:rsidP="00AB1BD8">
      <w:pPr>
        <w:pStyle w:val="ListParagraph"/>
        <w:rPr>
          <w:color w:val="70AD47" w:themeColor="accent6"/>
          <w:sz w:val="20"/>
        </w:rPr>
      </w:pPr>
      <w:r w:rsidRPr="00B228A1">
        <w:rPr>
          <w:color w:val="70AD47" w:themeColor="accent6"/>
          <w:sz w:val="20"/>
        </w:rPr>
        <w:t>Project Checklist without Samples</w:t>
      </w:r>
    </w:p>
    <w:p w14:paraId="3F4D8BFC" w14:textId="26EA98D0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>Project Checklist_June2024_MMS-CD</w:t>
      </w:r>
    </w:p>
    <w:p w14:paraId="1D002A53" w14:textId="6073B9AD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 xml:space="preserve">Project </w:t>
      </w:r>
      <w:proofErr w:type="spellStart"/>
      <w:r w:rsidRPr="00162596">
        <w:rPr>
          <w:color w:val="70AD47" w:themeColor="accent6"/>
          <w:sz w:val="20"/>
          <w:szCs w:val="20"/>
        </w:rPr>
        <w:t>Checklist_MMS-PD_Phase</w:t>
      </w:r>
      <w:proofErr w:type="spellEnd"/>
      <w:r w:rsidRPr="00162596">
        <w:rPr>
          <w:color w:val="70AD47" w:themeColor="accent6"/>
          <w:sz w:val="20"/>
          <w:szCs w:val="20"/>
        </w:rPr>
        <w:t xml:space="preserve"> A</w:t>
      </w:r>
    </w:p>
    <w:p w14:paraId="2A647B95" w14:textId="52D3F74F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>Project Checklist_June2024_MMS_FD_Pre-Phase B</w:t>
      </w:r>
    </w:p>
    <w:p w14:paraId="6BE5DD44" w14:textId="35467DF9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>Project Checklist_June2024_MMS-FD_Phase B</w:t>
      </w:r>
    </w:p>
    <w:p w14:paraId="6C66673F" w14:textId="672584B7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 xml:space="preserve">Project </w:t>
      </w:r>
      <w:proofErr w:type="spellStart"/>
      <w:r w:rsidRPr="00162596">
        <w:rPr>
          <w:color w:val="70AD47" w:themeColor="accent6"/>
          <w:sz w:val="20"/>
          <w:szCs w:val="20"/>
        </w:rPr>
        <w:t>Checklist_MMS-FD_Pre-PhaseC</w:t>
      </w:r>
      <w:proofErr w:type="spellEnd"/>
    </w:p>
    <w:p w14:paraId="2F93CB4E" w14:textId="190D3526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 xml:space="preserve">Project </w:t>
      </w:r>
      <w:proofErr w:type="spellStart"/>
      <w:r w:rsidRPr="00162596">
        <w:rPr>
          <w:color w:val="70AD47" w:themeColor="accent6"/>
          <w:sz w:val="20"/>
          <w:szCs w:val="20"/>
        </w:rPr>
        <w:t>Checklist_MMS-FD_PhaseC</w:t>
      </w:r>
      <w:proofErr w:type="spellEnd"/>
    </w:p>
    <w:p w14:paraId="53EB4D12" w14:textId="15586AC2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>Project Checklist_June2024_MMS-FD_PhaseD</w:t>
      </w:r>
    </w:p>
    <w:p w14:paraId="750B85B8" w14:textId="2FFF0333" w:rsidR="00B228A1" w:rsidRPr="00162596" w:rsidRDefault="00B228A1" w:rsidP="00AB1BD8">
      <w:pPr>
        <w:pStyle w:val="ListParagraph"/>
        <w:rPr>
          <w:color w:val="70AD47" w:themeColor="accent6"/>
          <w:sz w:val="18"/>
          <w:szCs w:val="20"/>
        </w:rPr>
      </w:pPr>
      <w:r w:rsidRPr="00162596">
        <w:rPr>
          <w:color w:val="70AD47" w:themeColor="accent6"/>
          <w:sz w:val="20"/>
          <w:szCs w:val="20"/>
        </w:rPr>
        <w:t>Project Checklist_June2024_MMS-FD_Post-PhaseD</w:t>
      </w:r>
    </w:p>
    <w:p w14:paraId="08EFAA19" w14:textId="2A87AE88" w:rsidR="004A376B" w:rsidRPr="004A376B" w:rsidRDefault="004A376B" w:rsidP="004A376B">
      <w:pPr>
        <w:rPr>
          <w:color w:val="70AD47" w:themeColor="accent6"/>
          <w:sz w:val="20"/>
        </w:rPr>
      </w:pPr>
      <w:r>
        <w:rPr>
          <w:color w:val="70AD47" w:themeColor="accent6"/>
          <w:sz w:val="20"/>
        </w:rPr>
        <w:t xml:space="preserve">The following are found at </w:t>
      </w:r>
      <w:hyperlink r:id="rId13" w:history="1">
        <w:r w:rsidRPr="004A376B">
          <w:rPr>
            <w:rStyle w:val="Hyperlink"/>
            <w:sz w:val="20"/>
          </w:rPr>
          <w:t>https://www.njta.gov/business-hub/professional-services/supplemental-links/</w:t>
        </w:r>
      </w:hyperlink>
      <w:r w:rsidR="004B0378">
        <w:rPr>
          <w:color w:val="70AD47" w:themeColor="accent6"/>
          <w:sz w:val="20"/>
        </w:rPr>
        <w:t xml:space="preserve"> unless otherwise noted</w:t>
      </w:r>
      <w:r>
        <w:rPr>
          <w:color w:val="70AD47" w:themeColor="accent6"/>
          <w:sz w:val="20"/>
        </w:rPr>
        <w:t>:</w:t>
      </w:r>
    </w:p>
    <w:p w14:paraId="65FD002A" w14:textId="509C3AD6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0" w:name="_Ref159244768"/>
      <w:r w:rsidRPr="004A376B">
        <w:rPr>
          <w:sz w:val="20"/>
        </w:rPr>
        <w:t>Guidance for Electronic and Hard Copy</w:t>
      </w:r>
      <w:r w:rsidRPr="004A376B">
        <w:rPr>
          <w:sz w:val="20"/>
        </w:rPr>
        <w:t xml:space="preserve"> </w:t>
      </w:r>
      <w:r w:rsidRPr="004A376B">
        <w:rPr>
          <w:sz w:val="20"/>
        </w:rPr>
        <w:t>Submittals</w:t>
      </w:r>
      <w:bookmarkEnd w:id="0"/>
    </w:p>
    <w:p w14:paraId="35FC2FF6" w14:textId="77777777" w:rsidR="00AB1BD8" w:rsidRPr="00352322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>
        <w:rPr>
          <w:sz w:val="20"/>
        </w:rPr>
        <w:t>Stakeholder Outreach</w:t>
      </w:r>
      <w:r w:rsidRPr="00296032">
        <w:rPr>
          <w:sz w:val="20"/>
        </w:rPr>
        <w:t xml:space="preserve"> Plan</w:t>
      </w:r>
      <w:r>
        <w:rPr>
          <w:sz w:val="20"/>
        </w:rPr>
        <w:t xml:space="preserve"> (provided by NJTA liaison)</w:t>
      </w:r>
      <w:bookmarkEnd w:id="1"/>
    </w:p>
    <w:p w14:paraId="26C8CF01" w14:textId="4ECC0C43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" w:name="_Ref159243750"/>
      <w:r w:rsidRPr="004A376B">
        <w:rPr>
          <w:sz w:val="20"/>
        </w:rPr>
        <w:t>Outside Agency Coordination Log Template</w:t>
      </w:r>
      <w:bookmarkEnd w:id="2"/>
    </w:p>
    <w:p w14:paraId="00BA1CA7" w14:textId="65517F22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3" w:name="_Ref159243743"/>
      <w:r w:rsidRPr="004A376B">
        <w:rPr>
          <w:sz w:val="20"/>
        </w:rPr>
        <w:t>Design Decision Report Template</w:t>
      </w:r>
      <w:bookmarkEnd w:id="3"/>
    </w:p>
    <w:p w14:paraId="7EE9EA7C" w14:textId="6844BA12" w:rsidR="00AB1BD8" w:rsidRPr="00F8390F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  <w:color w:val="auto"/>
        </w:rPr>
      </w:pPr>
      <w:bookmarkStart w:id="4" w:name="_Ref159243649"/>
      <w:r w:rsidRPr="004A376B">
        <w:rPr>
          <w:sz w:val="20"/>
        </w:rPr>
        <w:t>Risk Register Template</w:t>
      </w:r>
      <w:bookmarkEnd w:id="4"/>
    </w:p>
    <w:p w14:paraId="6ED5A39C" w14:textId="25BD135D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5" w:name="_Ref159243732"/>
      <w:r w:rsidRPr="004A376B">
        <w:rPr>
          <w:sz w:val="20"/>
        </w:rPr>
        <w:t>Design Exception Guidance</w:t>
      </w:r>
      <w:bookmarkEnd w:id="5"/>
    </w:p>
    <w:p w14:paraId="14F29A20" w14:textId="7AEF1FCE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6" w:name="_Ref159243738"/>
      <w:r w:rsidRPr="004A376B">
        <w:rPr>
          <w:sz w:val="20"/>
        </w:rPr>
        <w:t>Concept Development Report Template</w:t>
      </w:r>
      <w:bookmarkEnd w:id="6"/>
    </w:p>
    <w:p w14:paraId="3A0F7A3E" w14:textId="73B0A83F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7" w:name="_Ref159243812"/>
      <w:r w:rsidRPr="004A376B">
        <w:rPr>
          <w:sz w:val="20"/>
        </w:rPr>
        <w:t>Preliminary Design Report Template</w:t>
      </w:r>
      <w:bookmarkEnd w:id="7"/>
    </w:p>
    <w:p w14:paraId="7ED17456" w14:textId="1148CE0B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8" w:name="_Ref161149565"/>
      <w:r w:rsidRPr="004A376B">
        <w:rPr>
          <w:sz w:val="20"/>
        </w:rPr>
        <w:t>Preliminary Design Report Template (Maintenance Repair)</w:t>
      </w:r>
      <w:bookmarkEnd w:id="8"/>
    </w:p>
    <w:p w14:paraId="446902F3" w14:textId="19B5D2BC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Shop Drawing Review Guidelines</w:t>
      </w:r>
    </w:p>
    <w:p w14:paraId="0BA2F9ED" w14:textId="71BBCAB0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9" w:name="_Ref159244003"/>
      <w:proofErr w:type="spellStart"/>
      <w:r w:rsidRPr="004A376B">
        <w:rPr>
          <w:sz w:val="20"/>
        </w:rPr>
        <w:t>CapEx</w:t>
      </w:r>
      <w:proofErr w:type="spellEnd"/>
      <w:r w:rsidRPr="004A376B">
        <w:rPr>
          <w:sz w:val="20"/>
        </w:rPr>
        <w:t xml:space="preserve"> &amp; Specifications Design Gui</w:t>
      </w:r>
      <w:r w:rsidRPr="004A376B">
        <w:rPr>
          <w:sz w:val="20"/>
        </w:rPr>
        <w:t>d</w:t>
      </w:r>
      <w:r w:rsidRPr="004A376B">
        <w:rPr>
          <w:sz w:val="20"/>
        </w:rPr>
        <w:t>elines</w:t>
      </w:r>
      <w:bookmarkEnd w:id="9"/>
    </w:p>
    <w:p w14:paraId="065A9DD1" w14:textId="24EFE4B6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0" w:name="_Ref159243722"/>
      <w:r w:rsidRPr="004A376B">
        <w:rPr>
          <w:sz w:val="20"/>
        </w:rPr>
        <w:t>Sample Engineer’s Estimate</w:t>
      </w:r>
      <w:bookmarkEnd w:id="10"/>
    </w:p>
    <w:p w14:paraId="5D650E8D" w14:textId="2DBE55E6" w:rsidR="00AB1BD8" w:rsidRPr="00DF475E" w:rsidRDefault="004A376B" w:rsidP="00AB1BD8">
      <w:pPr>
        <w:pStyle w:val="ListParagraph"/>
        <w:numPr>
          <w:ilvl w:val="0"/>
          <w:numId w:val="26"/>
        </w:numPr>
        <w:rPr>
          <w:rStyle w:val="HiddenText"/>
          <w:vanish w:val="0"/>
          <w:color w:val="auto"/>
        </w:rPr>
      </w:pPr>
      <w:r w:rsidRPr="004A376B">
        <w:rPr>
          <w:rStyle w:val="HiddenText"/>
          <w:vanish w:val="0"/>
          <w:color w:val="auto"/>
        </w:rPr>
        <w:t>Guidance for Creating an Engineer’s Estimate</w:t>
      </w:r>
    </w:p>
    <w:p w14:paraId="08EC16D6" w14:textId="3FD70980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As-Built Plan Preparation Guidelines</w:t>
      </w:r>
    </w:p>
    <w:p w14:paraId="6434BA86" w14:textId="129AFE4B" w:rsidR="00AB1BD8" w:rsidRPr="004E62C0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1" w:name="_Ref159243666"/>
      <w:r w:rsidRPr="004A376B">
        <w:rPr>
          <w:sz w:val="20"/>
        </w:rPr>
        <w:t>Utility Contact Letter Template</w:t>
      </w:r>
      <w:bookmarkEnd w:id="11"/>
    </w:p>
    <w:p w14:paraId="55E49C04" w14:textId="42F9E066" w:rsidR="00AB1BD8" w:rsidRPr="002F61CB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  <w:color w:val="auto"/>
        </w:rPr>
      </w:pPr>
      <w:bookmarkStart w:id="12" w:name="_Ref159243780"/>
      <w:r w:rsidRPr="004A376B">
        <w:rPr>
          <w:sz w:val="20"/>
        </w:rPr>
        <w:t>Summary of Permit Requirements</w:t>
      </w:r>
      <w:bookmarkEnd w:id="12"/>
    </w:p>
    <w:p w14:paraId="3E423087" w14:textId="464817BA" w:rsidR="00AB1BD8" w:rsidRPr="00774AB6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3" w:name="_Ref159243800"/>
      <w:r w:rsidRPr="004A376B">
        <w:rPr>
          <w:sz w:val="20"/>
        </w:rPr>
        <w:t>Utility Status Schedule Template</w:t>
      </w:r>
      <w:bookmarkEnd w:id="13"/>
    </w:p>
    <w:p w14:paraId="0C4C742D" w14:textId="481E6FF3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4" w:name="_Ref159243923"/>
      <w:r w:rsidRPr="004A376B">
        <w:rPr>
          <w:sz w:val="20"/>
        </w:rPr>
        <w:t xml:space="preserve">Traffic Impact Notices </w:t>
      </w:r>
      <w:r w:rsidR="004A376B">
        <w:rPr>
          <w:sz w:val="20"/>
        </w:rPr>
        <w:t>T</w:t>
      </w:r>
      <w:r w:rsidRPr="004A376B">
        <w:rPr>
          <w:sz w:val="20"/>
        </w:rPr>
        <w:t>emplate</w:t>
      </w:r>
      <w:bookmarkEnd w:id="14"/>
    </w:p>
    <w:p w14:paraId="6C11A09C" w14:textId="7B97512B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5" w:name="_Ref159244466"/>
      <w:r w:rsidRPr="004A376B">
        <w:rPr>
          <w:sz w:val="20"/>
        </w:rPr>
        <w:t>Road User Cost Manual &amp; Worksheets</w:t>
      </w:r>
      <w:bookmarkEnd w:id="15"/>
      <w:r>
        <w:rPr>
          <w:rStyle w:val="HiddenText"/>
          <w:vanish w:val="0"/>
        </w:rPr>
        <w:t xml:space="preserve"> </w:t>
      </w:r>
    </w:p>
    <w:p w14:paraId="7B4B7EB3" w14:textId="29FEE427" w:rsidR="00AB1BD8" w:rsidRPr="00463311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6" w:name="_Ref159244638"/>
      <w:r w:rsidRPr="004A376B">
        <w:rPr>
          <w:sz w:val="20"/>
        </w:rPr>
        <w:t>Load Rating Manual</w:t>
      </w:r>
      <w:bookmarkEnd w:id="16"/>
    </w:p>
    <w:bookmarkStart w:id="17" w:name="_Ref159244686"/>
    <w:p w14:paraId="1A4886F3" w14:textId="77777777" w:rsidR="00AB1BD8" w:rsidRPr="00DA1B65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>
        <w:rPr>
          <w:rStyle w:val="HiddenText"/>
          <w:vanish w:val="0"/>
          <w:color w:val="auto"/>
        </w:rPr>
        <w:t xml:space="preserve"> (provided by NJTA liaison)</w:t>
      </w:r>
      <w:bookmarkEnd w:id="17"/>
    </w:p>
    <w:p w14:paraId="6B6DDDBC" w14:textId="22A92BD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8" w:name="_Ref161155000"/>
      <w:r w:rsidRPr="004A376B">
        <w:rPr>
          <w:sz w:val="20"/>
        </w:rPr>
        <w:t>Materials Acceptance Review Matrix template</w:t>
      </w:r>
      <w:bookmarkEnd w:id="18"/>
    </w:p>
    <w:p w14:paraId="70E05DBF" w14:textId="5C620254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19" w:name="_Ref159244895"/>
      <w:r w:rsidRPr="004A376B">
        <w:rPr>
          <w:sz w:val="20"/>
        </w:rPr>
        <w:t>CADD Standards Manual</w:t>
      </w:r>
      <w:bookmarkEnd w:id="19"/>
      <w:r w:rsidR="004A376B">
        <w:rPr>
          <w:sz w:val="20"/>
        </w:rPr>
        <w:t xml:space="preserve"> – found at </w:t>
      </w:r>
      <w:hyperlink r:id="rId14" w:history="1">
        <w:r w:rsidR="004A376B" w:rsidRPr="004A376B">
          <w:rPr>
            <w:rStyle w:val="Hyperlink"/>
            <w:sz w:val="20"/>
          </w:rPr>
          <w:t>https://www.njta.gov/business-hub/professional-services/engineering-manuals/</w:t>
        </w:r>
      </w:hyperlink>
    </w:p>
    <w:p w14:paraId="6A794A51" w14:textId="3A32A830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0" w:name="_Ref159244780"/>
      <w:r w:rsidRPr="004A376B">
        <w:rPr>
          <w:sz w:val="20"/>
        </w:rPr>
        <w:t>Fiber Optic Cable Design Review Certification Form</w:t>
      </w:r>
      <w:bookmarkEnd w:id="20"/>
    </w:p>
    <w:p w14:paraId="4A24EED9" w14:textId="0910EB3A" w:rsidR="00AB1BD8" w:rsidRPr="00AB1BD8" w:rsidRDefault="00AB1BD8" w:rsidP="00AB1BD8">
      <w:pPr>
        <w:pStyle w:val="ListParagraph"/>
        <w:numPr>
          <w:ilvl w:val="0"/>
          <w:numId w:val="26"/>
        </w:numPr>
        <w:rPr>
          <w:color w:val="70AD47" w:themeColor="accent6"/>
          <w:sz w:val="20"/>
        </w:rPr>
      </w:pPr>
      <w:r w:rsidRPr="004A376B">
        <w:rPr>
          <w:sz w:val="20"/>
        </w:rPr>
        <w:t>QPL Pilot Form</w:t>
      </w:r>
    </w:p>
    <w:p w14:paraId="208FAC01" w14:textId="77777777" w:rsidR="00AB1BD8" w:rsidRPr="00AB1BD8" w:rsidRDefault="00AB1BD8" w:rsidP="00AB1BD8">
      <w:pPr>
        <w:pStyle w:val="ListParagraph"/>
        <w:rPr>
          <w:color w:val="70AD47" w:themeColor="accent6"/>
          <w:sz w:val="20"/>
        </w:rPr>
      </w:pPr>
    </w:p>
    <w:p w14:paraId="0C597323" w14:textId="5A42ADEC" w:rsidR="00AB1BD8" w:rsidRPr="00B57C85" w:rsidRDefault="00AB1BD8" w:rsidP="00AB1BD8">
      <w:pPr>
        <w:pStyle w:val="ListParagraph"/>
        <w:ind w:left="360"/>
        <w:rPr>
          <w:color w:val="70AD47" w:themeColor="accent6"/>
          <w:sz w:val="20"/>
        </w:rPr>
      </w:pPr>
      <w:r w:rsidRPr="004A376B">
        <w:rPr>
          <w:sz w:val="20"/>
        </w:rPr>
        <w:t>NJTA De</w:t>
      </w:r>
      <w:r w:rsidRPr="004A376B">
        <w:rPr>
          <w:sz w:val="20"/>
        </w:rPr>
        <w:t>s</w:t>
      </w:r>
      <w:r w:rsidRPr="004A376B">
        <w:rPr>
          <w:sz w:val="20"/>
        </w:rPr>
        <w:t>ign Manual</w:t>
      </w:r>
    </w:p>
    <w:p w14:paraId="5EA2B0A6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</w:p>
    <w:p w14:paraId="225FAD38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1" w:name="_Ref159244120"/>
      <w:r>
        <w:rPr>
          <w:rStyle w:val="HiddenText"/>
          <w:vanish w:val="0"/>
        </w:rPr>
        <w:t>– Drainage Design (SECTION 5)</w:t>
      </w:r>
      <w:bookmarkEnd w:id="21"/>
    </w:p>
    <w:p w14:paraId="4B84F9CF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2" w:name="_Ref159243674"/>
      <w:r>
        <w:rPr>
          <w:rStyle w:val="HiddenText"/>
          <w:vanish w:val="0"/>
        </w:rPr>
        <w:t>– Geotechnical Engineering (SECTION 6)</w:t>
      </w:r>
      <w:bookmarkEnd w:id="22"/>
    </w:p>
    <w:p w14:paraId="47706A71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3" w:name="_Ref159244092"/>
      <w:r>
        <w:rPr>
          <w:rStyle w:val="HiddenText"/>
          <w:vanish w:val="0"/>
        </w:rPr>
        <w:t>– Signing and Striping (SECTION 7)</w:t>
      </w:r>
      <w:bookmarkEnd w:id="23"/>
    </w:p>
    <w:p w14:paraId="3EB04EA3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4" w:name="_Ref159244326"/>
      <w:r>
        <w:rPr>
          <w:rStyle w:val="HiddenText"/>
          <w:vanish w:val="0"/>
        </w:rPr>
        <w:t>– Lighting and Power Distribution Systems (SECTION 8)</w:t>
      </w:r>
      <w:bookmarkEnd w:id="24"/>
    </w:p>
    <w:p w14:paraId="0CC5980A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5" w:name="_Ref159244148"/>
      <w:r>
        <w:rPr>
          <w:rStyle w:val="HiddenText"/>
          <w:vanish w:val="0"/>
        </w:rPr>
        <w:t>– Traffic Control During Construction (SECTION 10)</w:t>
      </w:r>
      <w:bookmarkEnd w:id="25"/>
    </w:p>
    <w:p w14:paraId="13665C6D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6" w:name="_Ref159244343"/>
      <w:r>
        <w:rPr>
          <w:rStyle w:val="HiddenText"/>
          <w:vanish w:val="0"/>
        </w:rPr>
        <w:t>– Facility Buildings / Toll Plazas (SECTION 12)</w:t>
      </w:r>
      <w:bookmarkEnd w:id="26"/>
    </w:p>
    <w:p w14:paraId="58F47C31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7" w:name="_Ref159243657"/>
      <w:r>
        <w:rPr>
          <w:rStyle w:val="HiddenText"/>
          <w:vanish w:val="0"/>
        </w:rPr>
        <w:t>– Environmental Engineering (SECTION 13)</w:t>
      </w:r>
      <w:bookmarkEnd w:id="27"/>
    </w:p>
    <w:p w14:paraId="364D3F4A" w14:textId="77777777" w:rsidR="00AB1BD8" w:rsidRDefault="00AB1BD8" w:rsidP="00AB1BD8">
      <w:pPr>
        <w:pStyle w:val="ListParagraph"/>
        <w:ind w:left="360"/>
      </w:pPr>
      <w:bookmarkStart w:id="28" w:name="_Ref159243686"/>
    </w:p>
    <w:p w14:paraId="4C81CB68" w14:textId="53BFD3B3" w:rsidR="00AB1BD8" w:rsidRPr="00B57C85" w:rsidRDefault="00AB1BD8" w:rsidP="00AB1BD8">
      <w:pPr>
        <w:pStyle w:val="ListParagraph"/>
        <w:ind w:left="360"/>
        <w:rPr>
          <w:color w:val="70AD47" w:themeColor="accent6"/>
          <w:sz w:val="20"/>
        </w:rPr>
      </w:pPr>
      <w:r w:rsidRPr="004A376B">
        <w:rPr>
          <w:sz w:val="20"/>
        </w:rPr>
        <w:t>NJTA Proced</w:t>
      </w:r>
      <w:r w:rsidRPr="004A376B">
        <w:rPr>
          <w:sz w:val="20"/>
        </w:rPr>
        <w:t>u</w:t>
      </w:r>
      <w:r w:rsidRPr="004A376B">
        <w:rPr>
          <w:sz w:val="20"/>
        </w:rPr>
        <w:t>res Manual</w:t>
      </w:r>
    </w:p>
    <w:p w14:paraId="2A65203C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28"/>
    </w:p>
    <w:p w14:paraId="04927445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29" w:name="_Ref159243680"/>
      <w:r>
        <w:rPr>
          <w:rStyle w:val="HiddenText"/>
          <w:vanish w:val="0"/>
        </w:rPr>
        <w:t>– Geotechnical Engineering (SECTION 5)</w:t>
      </w:r>
      <w:bookmarkEnd w:id="29"/>
    </w:p>
    <w:p w14:paraId="01831FB6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30" w:name="_Ref159243697"/>
      <w:r>
        <w:rPr>
          <w:rStyle w:val="HiddenText"/>
          <w:vanish w:val="0"/>
        </w:rPr>
        <w:t>– Roadway Plan Preparation (SECTION 6)</w:t>
      </w:r>
      <w:bookmarkEnd w:id="30"/>
    </w:p>
    <w:p w14:paraId="1E6435C7" w14:textId="77777777" w:rsidR="00AB1BD8" w:rsidRPr="00CB4EA6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31" w:name="_Ref161146075"/>
      <w:r w:rsidRPr="00CB4EA6">
        <w:rPr>
          <w:rStyle w:val="HiddenText"/>
          <w:vanish w:val="0"/>
        </w:rPr>
        <w:lastRenderedPageBreak/>
        <w:t xml:space="preserve">– </w:t>
      </w:r>
      <w:r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1"/>
    </w:p>
    <w:p w14:paraId="056FD0AA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32" w:name="_Ref159244078"/>
      <w:r>
        <w:rPr>
          <w:rStyle w:val="HiddenText"/>
          <w:vanish w:val="0"/>
        </w:rPr>
        <w:t>– Utility Installation, Relocations and Adjustments (SECTION 8)</w:t>
      </w:r>
      <w:bookmarkEnd w:id="32"/>
    </w:p>
    <w:p w14:paraId="2DA4BFAC" w14:textId="77777777" w:rsidR="00AB1BD8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bookmarkStart w:id="33" w:name="_Ref159243704"/>
      <w:r>
        <w:rPr>
          <w:rStyle w:val="HiddenText"/>
          <w:vanish w:val="0"/>
        </w:rPr>
        <w:t>– Right of Way (SECTION 9)</w:t>
      </w:r>
      <w:bookmarkEnd w:id="33"/>
    </w:p>
    <w:p w14:paraId="2459E445" w14:textId="77777777" w:rsidR="00AB1BD8" w:rsidRPr="00EE1177" w:rsidRDefault="00AB1BD8" w:rsidP="00AB1BD8">
      <w:pPr>
        <w:pStyle w:val="ListParagraph"/>
        <w:numPr>
          <w:ilvl w:val="0"/>
          <w:numId w:val="26"/>
        </w:numPr>
        <w:rPr>
          <w:rStyle w:val="HiddenText"/>
          <w:vanish w:val="0"/>
          <w:szCs w:val="20"/>
        </w:rPr>
      </w:pPr>
      <w:bookmarkStart w:id="34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4"/>
    </w:p>
    <w:p w14:paraId="2796DE6E" w14:textId="77777777" w:rsidR="00AB1BD8" w:rsidRDefault="00AB1BD8" w:rsidP="00AB1BD8">
      <w:pPr>
        <w:pStyle w:val="ListParagraph"/>
        <w:numPr>
          <w:ilvl w:val="0"/>
          <w:numId w:val="26"/>
        </w:numPr>
        <w:rPr>
          <w:sz w:val="20"/>
          <w:szCs w:val="20"/>
        </w:rPr>
      </w:pPr>
      <w:bookmarkStart w:id="35" w:name="_Ref159244155"/>
      <w:r w:rsidRPr="00EE1177">
        <w:rPr>
          <w:rStyle w:val="HiddenText"/>
          <w:vanish w:val="0"/>
          <w:szCs w:val="20"/>
        </w:rPr>
        <w:t>– Constructability</w:t>
      </w:r>
      <w:r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5"/>
      <w:r w:rsidRPr="00EE1177">
        <w:rPr>
          <w:sz w:val="20"/>
          <w:szCs w:val="20"/>
        </w:rPr>
        <w:t xml:space="preserve"> </w:t>
      </w:r>
    </w:p>
    <w:p w14:paraId="2BAF8993" w14:textId="46353C77" w:rsidR="004A376B" w:rsidRPr="004A376B" w:rsidRDefault="004A376B" w:rsidP="004A376B">
      <w:pPr>
        <w:rPr>
          <w:color w:val="70AD47" w:themeColor="accent6"/>
          <w:sz w:val="20"/>
        </w:rPr>
      </w:pPr>
      <w:r w:rsidRPr="004A376B">
        <w:rPr>
          <w:color w:val="70AD47" w:themeColor="accent6"/>
          <w:sz w:val="20"/>
        </w:rPr>
        <w:t xml:space="preserve">The following are found at </w:t>
      </w:r>
      <w:hyperlink r:id="rId15" w:history="1">
        <w:r w:rsidRPr="004A376B">
          <w:rPr>
            <w:rStyle w:val="Hyperlink"/>
            <w:sz w:val="20"/>
          </w:rPr>
          <w:t>https://www.njta.gov/business-hub/professional-services/supplemental-links/</w:t>
        </w:r>
      </w:hyperlink>
      <w:r w:rsidR="004B0378">
        <w:rPr>
          <w:color w:val="70AD47" w:themeColor="accent6"/>
          <w:sz w:val="20"/>
        </w:rPr>
        <w:t xml:space="preserve"> unless otherwise noted</w:t>
      </w:r>
      <w:r w:rsidRPr="004A376B">
        <w:rPr>
          <w:color w:val="70AD47" w:themeColor="accent6"/>
          <w:sz w:val="20"/>
        </w:rPr>
        <w:t>:</w:t>
      </w:r>
    </w:p>
    <w:p w14:paraId="2882136D" w14:textId="3553C0BD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Bridge Insp</w:t>
      </w:r>
      <w:r w:rsidRPr="004A376B">
        <w:rPr>
          <w:sz w:val="20"/>
        </w:rPr>
        <w:t>e</w:t>
      </w:r>
      <w:r w:rsidRPr="004A376B">
        <w:rPr>
          <w:sz w:val="20"/>
        </w:rPr>
        <w:t>ction Program</w:t>
      </w:r>
    </w:p>
    <w:p w14:paraId="00C48151" w14:textId="2FBCB93F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Guidance for Electronic NJDEP DLRP Applications</w:t>
      </w:r>
    </w:p>
    <w:p w14:paraId="0DA1A944" w14:textId="6C3DFB8B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 xml:space="preserve">Guidelines For Use </w:t>
      </w:r>
      <w:proofErr w:type="gramStart"/>
      <w:r w:rsidRPr="004A376B">
        <w:rPr>
          <w:sz w:val="20"/>
        </w:rPr>
        <w:t>Of</w:t>
      </w:r>
      <w:proofErr w:type="gramEnd"/>
      <w:r w:rsidRPr="004A376B">
        <w:rPr>
          <w:sz w:val="20"/>
        </w:rPr>
        <w:t xml:space="preserve"> VMS Systems </w:t>
      </w:r>
      <w:proofErr w:type="gramStart"/>
      <w:r w:rsidRPr="004A376B">
        <w:rPr>
          <w:sz w:val="20"/>
        </w:rPr>
        <w:t>For</w:t>
      </w:r>
      <w:proofErr w:type="gramEnd"/>
      <w:r w:rsidRPr="004A376B">
        <w:rPr>
          <w:sz w:val="20"/>
        </w:rPr>
        <w:t xml:space="preserve"> Construction</w:t>
      </w:r>
    </w:p>
    <w:p w14:paraId="0DE748F5" w14:textId="5678D468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License to Cross Application</w:t>
      </w:r>
      <w:r w:rsidR="004A376B">
        <w:rPr>
          <w:sz w:val="20"/>
        </w:rPr>
        <w:t xml:space="preserve"> – found at </w:t>
      </w:r>
      <w:hyperlink r:id="rId16" w:history="1">
        <w:r w:rsidR="004A376B" w:rsidRPr="00AB270E">
          <w:rPr>
            <w:rStyle w:val="Hyperlink"/>
            <w:sz w:val="20"/>
          </w:rPr>
          <w:t>https://www.njta.gov/forms-records/license-to-cross/</w:t>
        </w:r>
      </w:hyperlink>
      <w:r w:rsidR="004A376B">
        <w:rPr>
          <w:sz w:val="20"/>
        </w:rPr>
        <w:t xml:space="preserve"> </w:t>
      </w:r>
    </w:p>
    <w:p w14:paraId="7CE6A745" w14:textId="5FC00422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Multipliers for Professional Services</w:t>
      </w:r>
      <w:r w:rsidR="004A376B">
        <w:rPr>
          <w:sz w:val="20"/>
        </w:rPr>
        <w:t xml:space="preserve"> – found at </w:t>
      </w:r>
      <w:hyperlink r:id="rId17" w:history="1">
        <w:r w:rsidR="004A376B" w:rsidRPr="00AB270E">
          <w:rPr>
            <w:rStyle w:val="Hyperlink"/>
            <w:sz w:val="20"/>
          </w:rPr>
          <w:t>https://www.njta.gov/business-hub/professional-services/</w:t>
        </w:r>
      </w:hyperlink>
      <w:r w:rsidR="004A376B">
        <w:rPr>
          <w:sz w:val="20"/>
        </w:rPr>
        <w:t xml:space="preserve"> </w:t>
      </w:r>
    </w:p>
    <w:p w14:paraId="37ABF678" w14:textId="5419C57D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Sign Request Form</w:t>
      </w:r>
    </w:p>
    <w:p w14:paraId="3BB99035" w14:textId="33ACF549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Supplemental Sign Policy</w:t>
      </w:r>
    </w:p>
    <w:p w14:paraId="58DE0BF5" w14:textId="0562677E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Traffic Permit Application</w:t>
      </w:r>
    </w:p>
    <w:p w14:paraId="723F3A1B" w14:textId="042EF0B5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A376B">
        <w:rPr>
          <w:sz w:val="20"/>
        </w:rPr>
        <w:t>Supplementary Products List (SPL Form)</w:t>
      </w:r>
    </w:p>
    <w:p w14:paraId="7EA524C0" w14:textId="40AB04F8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Sample Addendum Files</w:t>
      </w:r>
    </w:p>
    <w:p w14:paraId="207FDF33" w14:textId="747D5AB3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Utility Checklist</w:t>
      </w:r>
    </w:p>
    <w:p w14:paraId="44337573" w14:textId="07F21AB9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Sample Utility Checklist</w:t>
      </w:r>
    </w:p>
    <w:p w14:paraId="052D9EF0" w14:textId="7073C6C4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Supplemental Utility Order</w:t>
      </w:r>
    </w:p>
    <w:p w14:paraId="42370EB7" w14:textId="02B3A79A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Utility Order</w:t>
      </w:r>
    </w:p>
    <w:p w14:paraId="553C5ECB" w14:textId="2DE2973C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Standard Voltage Drop Computation Form</w:t>
      </w:r>
    </w:p>
    <w:p w14:paraId="04A339A7" w14:textId="6BC50750" w:rsidR="00B228A1" w:rsidRPr="00B228A1" w:rsidRDefault="00B228A1" w:rsidP="00AB1BD8">
      <w:pPr>
        <w:pStyle w:val="ListParagraph"/>
        <w:numPr>
          <w:ilvl w:val="0"/>
          <w:numId w:val="26"/>
        </w:numPr>
        <w:rPr>
          <w:rStyle w:val="HiddenText"/>
          <w:vanish w:val="0"/>
        </w:rPr>
      </w:pPr>
      <w:r w:rsidRPr="004B0378">
        <w:rPr>
          <w:sz w:val="20"/>
        </w:rPr>
        <w:t>Sample Design Plans</w:t>
      </w:r>
      <w:r w:rsidR="004B0378">
        <w:rPr>
          <w:sz w:val="20"/>
        </w:rPr>
        <w:t xml:space="preserve"> – found at </w:t>
      </w:r>
      <w:hyperlink r:id="rId18" w:history="1">
        <w:r w:rsidR="004B0378" w:rsidRPr="00AB270E">
          <w:rPr>
            <w:rStyle w:val="Hyperlink"/>
            <w:sz w:val="20"/>
          </w:rPr>
          <w:t>https://www.njta.gov/business-hub/professional-services/</w:t>
        </w:r>
      </w:hyperlink>
      <w:r w:rsidR="004B0378">
        <w:rPr>
          <w:sz w:val="20"/>
        </w:rPr>
        <w:t xml:space="preserve"> </w:t>
      </w:r>
    </w:p>
    <w:p w14:paraId="44FD0B0F" w14:textId="77777777" w:rsidR="00B57C85" w:rsidRDefault="00B57C85" w:rsidP="00B57C85">
      <w:pPr>
        <w:pStyle w:val="ListParagraph"/>
        <w:ind w:left="360"/>
      </w:pPr>
      <w:bookmarkStart w:id="36" w:name="_Ref159244713"/>
    </w:p>
    <w:bookmarkEnd w:id="36"/>
    <w:p w14:paraId="5CF2626A" w14:textId="472BAAA6" w:rsidR="00E3227D" w:rsidRDefault="00E3227D">
      <w:pPr>
        <w:rPr>
          <w:sz w:val="20"/>
          <w:szCs w:val="20"/>
        </w:rPr>
      </w:pPr>
    </w:p>
    <w:p w14:paraId="0D4648EE" w14:textId="23DE84A0" w:rsidR="006D1C3F" w:rsidRPr="00277C37" w:rsidRDefault="00474469" w:rsidP="006D1C3F">
      <w:pPr>
        <w:pStyle w:val="Heading1"/>
      </w:pPr>
      <w:r>
        <w:t>Revision Summary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648"/>
        <w:gridCol w:w="1548"/>
        <w:gridCol w:w="1692"/>
        <w:gridCol w:w="4688"/>
      </w:tblGrid>
      <w:tr w:rsidR="006D1C3F" w14:paraId="07A257CC" w14:textId="77777777" w:rsidTr="00E62E9D">
        <w:tc>
          <w:tcPr>
            <w:tcW w:w="1648" w:type="dxa"/>
          </w:tcPr>
          <w:p w14:paraId="5C687F44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Revision</w:t>
            </w:r>
          </w:p>
        </w:tc>
        <w:tc>
          <w:tcPr>
            <w:tcW w:w="1548" w:type="dxa"/>
          </w:tcPr>
          <w:p w14:paraId="2FE7455F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Date</w:t>
            </w:r>
          </w:p>
        </w:tc>
        <w:tc>
          <w:tcPr>
            <w:tcW w:w="1692" w:type="dxa"/>
          </w:tcPr>
          <w:p w14:paraId="565D160B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Revised by</w:t>
            </w:r>
          </w:p>
        </w:tc>
        <w:tc>
          <w:tcPr>
            <w:tcW w:w="4688" w:type="dxa"/>
          </w:tcPr>
          <w:p w14:paraId="4C23773E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Summary</w:t>
            </w:r>
          </w:p>
        </w:tc>
      </w:tr>
      <w:tr w:rsidR="006D1C3F" w14:paraId="0A9424B5" w14:textId="77777777" w:rsidTr="00E62E9D">
        <w:tc>
          <w:tcPr>
            <w:tcW w:w="1648" w:type="dxa"/>
          </w:tcPr>
          <w:p w14:paraId="7A0EF184" w14:textId="77777777" w:rsidR="006D1C3F" w:rsidRDefault="006D1C3F" w:rsidP="00E62E9D">
            <w:pPr>
              <w:pStyle w:val="Body2"/>
              <w:jc w:val="left"/>
            </w:pPr>
            <w:r>
              <w:t>0</w:t>
            </w:r>
          </w:p>
        </w:tc>
        <w:tc>
          <w:tcPr>
            <w:tcW w:w="1548" w:type="dxa"/>
          </w:tcPr>
          <w:p w14:paraId="2A544EF0" w14:textId="576946D5" w:rsidR="006D1C3F" w:rsidRDefault="00F641C4" w:rsidP="00E62E9D">
            <w:pPr>
              <w:pStyle w:val="Body2"/>
              <w:ind w:left="0"/>
              <w:jc w:val="center"/>
            </w:pPr>
            <w:r>
              <w:t xml:space="preserve">September </w:t>
            </w:r>
            <w:r w:rsidR="006D1C3F">
              <w:t>2024</w:t>
            </w:r>
          </w:p>
        </w:tc>
        <w:tc>
          <w:tcPr>
            <w:tcW w:w="1692" w:type="dxa"/>
          </w:tcPr>
          <w:p w14:paraId="7F651BEF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64ED9C5A" w14:textId="77777777" w:rsidR="006D1C3F" w:rsidRDefault="006D1C3F" w:rsidP="00E62E9D">
            <w:pPr>
              <w:pStyle w:val="Body2"/>
              <w:ind w:left="0"/>
              <w:jc w:val="left"/>
            </w:pPr>
            <w:r>
              <w:t>Original document</w:t>
            </w:r>
          </w:p>
        </w:tc>
      </w:tr>
      <w:tr w:rsidR="006D1C3F" w14:paraId="40CA8111" w14:textId="77777777" w:rsidTr="00E62E9D">
        <w:tc>
          <w:tcPr>
            <w:tcW w:w="1648" w:type="dxa"/>
          </w:tcPr>
          <w:p w14:paraId="7050D877" w14:textId="49F4FE50" w:rsidR="006D1C3F" w:rsidRDefault="00474469" w:rsidP="00E62E9D">
            <w:pPr>
              <w:pStyle w:val="Body2"/>
              <w:jc w:val="left"/>
            </w:pPr>
            <w:r>
              <w:t>1</w:t>
            </w:r>
          </w:p>
        </w:tc>
        <w:tc>
          <w:tcPr>
            <w:tcW w:w="1548" w:type="dxa"/>
          </w:tcPr>
          <w:p w14:paraId="688D4D95" w14:textId="22D00FED" w:rsidR="006D1C3F" w:rsidRDefault="004B0378" w:rsidP="00E62E9D">
            <w:pPr>
              <w:pStyle w:val="Body2"/>
              <w:ind w:left="0"/>
              <w:jc w:val="center"/>
            </w:pPr>
            <w:r>
              <w:t>February</w:t>
            </w:r>
            <w:r w:rsidR="00474469">
              <w:t xml:space="preserve"> 2026</w:t>
            </w:r>
          </w:p>
        </w:tc>
        <w:tc>
          <w:tcPr>
            <w:tcW w:w="1692" w:type="dxa"/>
          </w:tcPr>
          <w:p w14:paraId="0FE62CD1" w14:textId="3938454D" w:rsidR="006D1C3F" w:rsidRPr="004D6ED3" w:rsidRDefault="00474469" w:rsidP="00E62E9D">
            <w:pPr>
              <w:pStyle w:val="Body2"/>
              <w:ind w:left="0"/>
              <w:jc w:val="left"/>
            </w:pPr>
            <w:r>
              <w:t>DCA2026PM-02</w:t>
            </w:r>
          </w:p>
        </w:tc>
        <w:tc>
          <w:tcPr>
            <w:tcW w:w="4688" w:type="dxa"/>
          </w:tcPr>
          <w:p w14:paraId="0C51FFAF" w14:textId="0EC273D6" w:rsidR="006D1C3F" w:rsidRDefault="00474469" w:rsidP="00E62E9D">
            <w:pPr>
              <w:pStyle w:val="Body2"/>
              <w:ind w:left="0"/>
              <w:jc w:val="left"/>
            </w:pPr>
            <w:r>
              <w:t>Fixed links to point to www.njta.gov</w:t>
            </w:r>
          </w:p>
        </w:tc>
      </w:tr>
      <w:tr w:rsidR="006D1C3F" w14:paraId="409E97C0" w14:textId="77777777" w:rsidTr="00E62E9D">
        <w:tc>
          <w:tcPr>
            <w:tcW w:w="1648" w:type="dxa"/>
          </w:tcPr>
          <w:p w14:paraId="33C62E43" w14:textId="77777777" w:rsidR="006D1C3F" w:rsidRDefault="006D1C3F" w:rsidP="00E62E9D">
            <w:pPr>
              <w:pStyle w:val="Body2"/>
              <w:jc w:val="left"/>
            </w:pPr>
          </w:p>
        </w:tc>
        <w:tc>
          <w:tcPr>
            <w:tcW w:w="1548" w:type="dxa"/>
          </w:tcPr>
          <w:p w14:paraId="54E985F3" w14:textId="77777777" w:rsidR="006D1C3F" w:rsidRDefault="006D1C3F" w:rsidP="00E62E9D">
            <w:pPr>
              <w:pStyle w:val="Body2"/>
              <w:ind w:left="0"/>
              <w:jc w:val="center"/>
            </w:pPr>
          </w:p>
        </w:tc>
        <w:tc>
          <w:tcPr>
            <w:tcW w:w="1692" w:type="dxa"/>
          </w:tcPr>
          <w:p w14:paraId="1DC48B4E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1820E284" w14:textId="77777777" w:rsidR="006D1C3F" w:rsidRDefault="006D1C3F" w:rsidP="00E62E9D">
            <w:pPr>
              <w:pStyle w:val="Body2"/>
              <w:ind w:left="0"/>
              <w:jc w:val="left"/>
            </w:pPr>
          </w:p>
        </w:tc>
      </w:tr>
      <w:tr w:rsidR="006D1C3F" w14:paraId="690F2DF0" w14:textId="77777777" w:rsidTr="00E62E9D">
        <w:tc>
          <w:tcPr>
            <w:tcW w:w="1648" w:type="dxa"/>
          </w:tcPr>
          <w:p w14:paraId="1F308AA0" w14:textId="77777777" w:rsidR="006D1C3F" w:rsidRDefault="006D1C3F" w:rsidP="00E62E9D">
            <w:pPr>
              <w:pStyle w:val="Body2"/>
              <w:jc w:val="left"/>
            </w:pPr>
          </w:p>
        </w:tc>
        <w:tc>
          <w:tcPr>
            <w:tcW w:w="1548" w:type="dxa"/>
          </w:tcPr>
          <w:p w14:paraId="2442E8DB" w14:textId="77777777" w:rsidR="006D1C3F" w:rsidRDefault="006D1C3F" w:rsidP="00E62E9D">
            <w:pPr>
              <w:pStyle w:val="Body2"/>
              <w:ind w:left="0"/>
              <w:jc w:val="center"/>
            </w:pPr>
          </w:p>
        </w:tc>
        <w:tc>
          <w:tcPr>
            <w:tcW w:w="1692" w:type="dxa"/>
          </w:tcPr>
          <w:p w14:paraId="35EBCD09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3225A3F1" w14:textId="77777777" w:rsidR="006D1C3F" w:rsidRDefault="006D1C3F" w:rsidP="00E62E9D">
            <w:pPr>
              <w:pStyle w:val="Body2"/>
              <w:ind w:left="0"/>
              <w:jc w:val="left"/>
            </w:pPr>
          </w:p>
        </w:tc>
      </w:tr>
    </w:tbl>
    <w:p w14:paraId="6EB4D2FF" w14:textId="77777777" w:rsidR="002C1B71" w:rsidRDefault="002C1B71" w:rsidP="007E7EA3"/>
    <w:sectPr w:rsidR="002C1B71" w:rsidSect="002F1F9D">
      <w:headerReference w:type="default" r:id="rId1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CFD1" w14:textId="77777777" w:rsidR="00C056D3" w:rsidRDefault="00C056D3" w:rsidP="006C6C63">
      <w:pPr>
        <w:spacing w:after="0" w:line="240" w:lineRule="auto"/>
      </w:pPr>
      <w:r>
        <w:separator/>
      </w:r>
    </w:p>
  </w:endnote>
  <w:endnote w:type="continuationSeparator" w:id="0">
    <w:p w14:paraId="752605F2" w14:textId="77777777" w:rsidR="00C056D3" w:rsidRDefault="00C056D3" w:rsidP="006C6C63">
      <w:pPr>
        <w:spacing w:after="0" w:line="240" w:lineRule="auto"/>
      </w:pPr>
      <w:r>
        <w:continuationSeparator/>
      </w:r>
    </w:p>
  </w:endnote>
  <w:endnote w:type="continuationNotice" w:id="1">
    <w:p w14:paraId="141E2BB3" w14:textId="77777777" w:rsidR="00C056D3" w:rsidRDefault="00C05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E962" w14:textId="20ECD0B6" w:rsidR="006C6C63" w:rsidRPr="00BA3EE6" w:rsidRDefault="00BA3EE6" w:rsidP="0082040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  <w:rPr>
        <w:rFonts w:cstheme="minorHAnsi"/>
        <w:szCs w:val="24"/>
      </w:rPr>
    </w:pPr>
    <w:r w:rsidRPr="00F754AC">
      <w:rPr>
        <w:rFonts w:cstheme="minorHAnsi"/>
        <w:szCs w:val="24"/>
      </w:rPr>
      <w:t xml:space="preserve">Rev. </w:t>
    </w:r>
    <w:r w:rsidR="004B0378">
      <w:rPr>
        <w:rFonts w:cstheme="minorHAnsi"/>
        <w:szCs w:val="24"/>
      </w:rPr>
      <w:t>February 2026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 w:rsidR="005B1F72">
      <w:rPr>
        <w:rFonts w:cstheme="minorHAnsi"/>
        <w:szCs w:val="24"/>
      </w:rPr>
      <w:fldChar w:fldCharType="begin"/>
    </w:r>
    <w:r w:rsidR="005B1F72">
      <w:rPr>
        <w:rFonts w:cstheme="minorHAnsi"/>
        <w:szCs w:val="24"/>
      </w:rPr>
      <w:instrText xml:space="preserve"> PAGE  \* Arabic  \* MERGEFORMAT </w:instrText>
    </w:r>
    <w:r w:rsidR="005B1F72">
      <w:rPr>
        <w:rFonts w:cstheme="minorHAnsi"/>
        <w:szCs w:val="24"/>
      </w:rPr>
      <w:fldChar w:fldCharType="separate"/>
    </w:r>
    <w:r w:rsidR="005B1F72">
      <w:rPr>
        <w:rFonts w:cstheme="minorHAnsi"/>
        <w:noProof/>
        <w:szCs w:val="24"/>
      </w:rPr>
      <w:t>0</w:t>
    </w:r>
    <w:r w:rsidR="005B1F72"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D22B" w14:textId="77777777" w:rsidR="00C056D3" w:rsidRDefault="00C056D3" w:rsidP="006C6C63">
      <w:pPr>
        <w:spacing w:after="0" w:line="240" w:lineRule="auto"/>
      </w:pPr>
      <w:r>
        <w:separator/>
      </w:r>
    </w:p>
  </w:footnote>
  <w:footnote w:type="continuationSeparator" w:id="0">
    <w:p w14:paraId="60E4888A" w14:textId="77777777" w:rsidR="00C056D3" w:rsidRDefault="00C056D3" w:rsidP="006C6C63">
      <w:pPr>
        <w:spacing w:after="0" w:line="240" w:lineRule="auto"/>
      </w:pPr>
      <w:r>
        <w:continuationSeparator/>
      </w:r>
    </w:p>
  </w:footnote>
  <w:footnote w:type="continuationNotice" w:id="1">
    <w:p w14:paraId="340D3775" w14:textId="77777777" w:rsidR="00C056D3" w:rsidRDefault="00C05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6BCB" w14:textId="5E9787C4" w:rsidR="00122137" w:rsidRDefault="005C7620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</w:t>
    </w:r>
    <w:r w:rsidR="00122137">
      <w:t>nt</w:t>
    </w:r>
  </w:p>
  <w:p w14:paraId="1B790B47" w14:textId="500E6ABD" w:rsidR="006C6C63" w:rsidRDefault="00474469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4B0378">
        <w:rPr>
          <w:noProof/>
        </w:rPr>
        <w:t>Introduction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122CE005" w:rsidR="00701331" w:rsidRDefault="00474469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4B0378">
        <w:rPr>
          <w:noProof/>
        </w:rPr>
        <w:t>Revision Summary</w:t>
      </w:r>
    </w:fldSimple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D4F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4ABA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1255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0FE9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F3133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859906">
    <w:abstractNumId w:val="17"/>
  </w:num>
  <w:num w:numId="2" w16cid:durableId="1389916681">
    <w:abstractNumId w:val="20"/>
  </w:num>
  <w:num w:numId="3" w16cid:durableId="931160176">
    <w:abstractNumId w:val="15"/>
  </w:num>
  <w:num w:numId="4" w16cid:durableId="1979450207">
    <w:abstractNumId w:val="24"/>
  </w:num>
  <w:num w:numId="5" w16cid:durableId="1226261749">
    <w:abstractNumId w:val="22"/>
  </w:num>
  <w:num w:numId="6" w16cid:durableId="1524173272">
    <w:abstractNumId w:val="11"/>
  </w:num>
  <w:num w:numId="7" w16cid:durableId="1017347001">
    <w:abstractNumId w:val="12"/>
  </w:num>
  <w:num w:numId="8" w16cid:durableId="1061445088">
    <w:abstractNumId w:val="9"/>
  </w:num>
  <w:num w:numId="9" w16cid:durableId="1714377626">
    <w:abstractNumId w:val="8"/>
  </w:num>
  <w:num w:numId="10" w16cid:durableId="340011943">
    <w:abstractNumId w:val="10"/>
  </w:num>
  <w:num w:numId="11" w16cid:durableId="1541891176">
    <w:abstractNumId w:val="7"/>
  </w:num>
  <w:num w:numId="12" w16cid:durableId="642663207">
    <w:abstractNumId w:val="13"/>
  </w:num>
  <w:num w:numId="13" w16cid:durableId="2086535215">
    <w:abstractNumId w:val="4"/>
  </w:num>
  <w:num w:numId="14" w16cid:durableId="147014906">
    <w:abstractNumId w:val="18"/>
  </w:num>
  <w:num w:numId="15" w16cid:durableId="876429278">
    <w:abstractNumId w:val="16"/>
  </w:num>
  <w:num w:numId="16" w16cid:durableId="1249848698">
    <w:abstractNumId w:val="14"/>
  </w:num>
  <w:num w:numId="17" w16cid:durableId="1589265552">
    <w:abstractNumId w:val="6"/>
  </w:num>
  <w:num w:numId="18" w16cid:durableId="850530764">
    <w:abstractNumId w:val="1"/>
  </w:num>
  <w:num w:numId="19" w16cid:durableId="1088186529">
    <w:abstractNumId w:val="2"/>
  </w:num>
  <w:num w:numId="20" w16cid:durableId="357852867">
    <w:abstractNumId w:val="25"/>
  </w:num>
  <w:num w:numId="21" w16cid:durableId="81689152">
    <w:abstractNumId w:val="21"/>
  </w:num>
  <w:num w:numId="22" w16cid:durableId="546259304">
    <w:abstractNumId w:val="19"/>
  </w:num>
  <w:num w:numId="23" w16cid:durableId="864826247">
    <w:abstractNumId w:val="0"/>
  </w:num>
  <w:num w:numId="24" w16cid:durableId="207374330">
    <w:abstractNumId w:val="5"/>
  </w:num>
  <w:num w:numId="25" w16cid:durableId="191650128">
    <w:abstractNumId w:val="3"/>
  </w:num>
  <w:num w:numId="26" w16cid:durableId="101942558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1B5D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070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2596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086E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156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46B76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43D6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302F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694"/>
    <w:rsid w:val="00470815"/>
    <w:rsid w:val="0047169C"/>
    <w:rsid w:val="00471C64"/>
    <w:rsid w:val="00471DE4"/>
    <w:rsid w:val="004734E1"/>
    <w:rsid w:val="00474469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9775A"/>
    <w:rsid w:val="004A0195"/>
    <w:rsid w:val="004A09E5"/>
    <w:rsid w:val="004A2546"/>
    <w:rsid w:val="004A2CBB"/>
    <w:rsid w:val="004A2CF2"/>
    <w:rsid w:val="004A376B"/>
    <w:rsid w:val="004A3F04"/>
    <w:rsid w:val="004A5120"/>
    <w:rsid w:val="004A6401"/>
    <w:rsid w:val="004A640F"/>
    <w:rsid w:val="004B0378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3416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D770F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34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6DFD"/>
    <w:rsid w:val="007B70D9"/>
    <w:rsid w:val="007C2682"/>
    <w:rsid w:val="007C27DB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27DB4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1BD8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8A1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3FD7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5A27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56D3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D7067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296C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87E85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1C4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gov/business-hub/professional-services/supplemental-links/" TargetMode="External"/><Relationship Id="rId18" Type="http://schemas.openxmlformats.org/officeDocument/2006/relationships/hyperlink" Target="https://www.njta.gov/business-hub/professional-service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jta.gov/business-hub/professional-servi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gov/forms-records/license-to-cros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jta.gov/business-hub/professional-services/supplemental-link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gov/business-hub/professional-services/engineering-manuals/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831</Words>
  <Characters>5032</Characters>
  <Application>Microsoft Office Word</Application>
  <DocSecurity>0</DocSecurity>
  <Lines>143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17</cp:revision>
  <cp:lastPrinted>2024-03-12T21:07:00Z</cp:lastPrinted>
  <dcterms:created xsi:type="dcterms:W3CDTF">2024-08-24T13:55:00Z</dcterms:created>
  <dcterms:modified xsi:type="dcterms:W3CDTF">2026-02-11T17:40:00Z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